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BCC" w:rsidRPr="00906E7C" w:rsidRDefault="00F9211A" w:rsidP="00410BCC">
      <w:pPr>
        <w:pStyle w:val="Prrafodelista"/>
        <w:numPr>
          <w:ilvl w:val="0"/>
          <w:numId w:val="10"/>
        </w:numPr>
        <w:jc w:val="both"/>
        <w:rPr>
          <w:rFonts w:ascii="Arial" w:eastAsia="Times New Roman" w:hAnsi="Arial" w:cs="Arial"/>
          <w:szCs w:val="18"/>
          <w:lang w:eastAsia="es-BO"/>
        </w:rPr>
      </w:pPr>
      <w:r w:rsidRPr="00906E7C">
        <w:rPr>
          <w:rFonts w:ascii="Arial" w:eastAsia="Times New Roman" w:hAnsi="Arial" w:cs="Arial"/>
          <w:b/>
          <w:bCs/>
          <w:szCs w:val="18"/>
          <w:lang w:eastAsia="es-BO"/>
        </w:rPr>
        <w:t>Ocurrencia Anormal Operativa</w:t>
      </w:r>
      <w:r w:rsidR="00410BCC" w:rsidRPr="00906E7C">
        <w:rPr>
          <w:rFonts w:ascii="Arial" w:eastAsia="Times New Roman" w:hAnsi="Arial" w:cs="Arial"/>
          <w:b/>
          <w:bCs/>
          <w:szCs w:val="18"/>
          <w:lang w:eastAsia="es-BO"/>
        </w:rPr>
        <w:t xml:space="preserve"> (OAO)</w:t>
      </w:r>
      <w:r w:rsidRPr="00906E7C">
        <w:rPr>
          <w:rFonts w:ascii="Arial" w:eastAsia="Times New Roman" w:hAnsi="Arial" w:cs="Arial"/>
          <w:b/>
          <w:bCs/>
          <w:szCs w:val="18"/>
          <w:lang w:eastAsia="es-BO"/>
        </w:rPr>
        <w:t>:</w:t>
      </w:r>
      <w:r w:rsidRPr="00906E7C">
        <w:rPr>
          <w:rFonts w:ascii="Arial" w:eastAsia="Times New Roman" w:hAnsi="Arial" w:cs="Arial"/>
          <w:szCs w:val="18"/>
          <w:lang w:eastAsia="es-BO"/>
        </w:rPr>
        <w:t xml:space="preserve"> </w:t>
      </w:r>
      <w:bookmarkStart w:id="0" w:name="_GoBack"/>
      <w:bookmarkEnd w:id="0"/>
    </w:p>
    <w:p w:rsidR="00DA3C02" w:rsidRPr="00DA3C02" w:rsidRDefault="00DA3C02" w:rsidP="00173725">
      <w:pPr>
        <w:jc w:val="both"/>
        <w:rPr>
          <w:rFonts w:ascii="Arial" w:eastAsia="Times New Roman" w:hAnsi="Arial" w:cs="Arial"/>
          <w:sz w:val="2"/>
          <w:szCs w:val="18"/>
          <w:lang w:eastAsia="es-BO"/>
        </w:rPr>
      </w:pPr>
    </w:p>
    <w:p w:rsidR="00F9211A" w:rsidRPr="00906E7C" w:rsidRDefault="00410BCC" w:rsidP="00173725">
      <w:pPr>
        <w:jc w:val="both"/>
        <w:rPr>
          <w:rFonts w:ascii="Arial" w:eastAsia="Times New Roman" w:hAnsi="Arial" w:cs="Arial"/>
          <w:szCs w:val="18"/>
          <w:lang w:eastAsia="es-BO"/>
        </w:rPr>
      </w:pPr>
      <w:r w:rsidRPr="00906E7C">
        <w:rPr>
          <w:rFonts w:ascii="Arial" w:eastAsia="Times New Roman" w:hAnsi="Arial" w:cs="Arial"/>
          <w:szCs w:val="18"/>
          <w:lang w:eastAsia="es-BO"/>
        </w:rPr>
        <w:t>Es un e</w:t>
      </w:r>
      <w:r w:rsidR="00F9211A" w:rsidRPr="00906E7C">
        <w:rPr>
          <w:rFonts w:ascii="Arial" w:eastAsia="Times New Roman" w:hAnsi="Arial" w:cs="Arial"/>
          <w:szCs w:val="18"/>
          <w:lang w:eastAsia="es-BO"/>
        </w:rPr>
        <w:t>vento imprevisto e indeseable que implica la liberación o potencial liberación de la contención primaria, no planeada o no controlada, de cualquier material peligroso</w:t>
      </w:r>
      <w:r w:rsidRPr="00906E7C">
        <w:rPr>
          <w:rFonts w:ascii="Arial" w:eastAsia="Times New Roman" w:hAnsi="Arial" w:cs="Arial"/>
          <w:szCs w:val="18"/>
          <w:lang w:eastAsia="es-BO"/>
        </w:rPr>
        <w:t xml:space="preserve">, </w:t>
      </w:r>
      <w:r w:rsidR="00F9211A" w:rsidRPr="00906E7C">
        <w:rPr>
          <w:rFonts w:ascii="Arial" w:eastAsia="Times New Roman" w:hAnsi="Arial" w:cs="Arial"/>
          <w:szCs w:val="18"/>
          <w:lang w:eastAsia="es-BO"/>
        </w:rPr>
        <w:t xml:space="preserve"> </w:t>
      </w:r>
      <w:r w:rsidRPr="00906E7C">
        <w:rPr>
          <w:rFonts w:ascii="Arial" w:eastAsia="Times New Roman" w:hAnsi="Arial" w:cs="Arial"/>
          <w:szCs w:val="18"/>
          <w:lang w:eastAsia="es-BO"/>
        </w:rPr>
        <w:t xml:space="preserve">o también material </w:t>
      </w:r>
      <w:r w:rsidR="00F9211A" w:rsidRPr="00906E7C">
        <w:rPr>
          <w:rFonts w:ascii="Arial" w:eastAsia="Times New Roman" w:hAnsi="Arial" w:cs="Arial"/>
          <w:szCs w:val="18"/>
          <w:lang w:eastAsia="es-BO"/>
        </w:rPr>
        <w:t xml:space="preserve">no inflamable </w:t>
      </w:r>
      <w:r w:rsidRPr="00906E7C">
        <w:rPr>
          <w:rFonts w:ascii="Arial" w:eastAsia="Times New Roman" w:hAnsi="Arial" w:cs="Arial"/>
          <w:szCs w:val="18"/>
          <w:lang w:eastAsia="es-BO"/>
        </w:rPr>
        <w:t xml:space="preserve">/ </w:t>
      </w:r>
      <w:r w:rsidR="00F9211A" w:rsidRPr="00906E7C">
        <w:rPr>
          <w:rFonts w:ascii="Arial" w:eastAsia="Times New Roman" w:hAnsi="Arial" w:cs="Arial"/>
          <w:szCs w:val="18"/>
          <w:lang w:eastAsia="es-BO"/>
        </w:rPr>
        <w:t>no toxico (por ejemplo vapor, o a</w:t>
      </w:r>
      <w:r w:rsidRPr="00906E7C">
        <w:rPr>
          <w:rFonts w:ascii="Arial" w:eastAsia="Times New Roman" w:hAnsi="Arial" w:cs="Arial"/>
          <w:szCs w:val="18"/>
          <w:lang w:eastAsia="es-BO"/>
        </w:rPr>
        <w:t xml:space="preserve">ire comprimido) dentro de alguna operación de </w:t>
      </w:r>
      <w:r w:rsidR="00F9211A" w:rsidRPr="00906E7C">
        <w:rPr>
          <w:rFonts w:ascii="Arial" w:eastAsia="Times New Roman" w:hAnsi="Arial" w:cs="Arial"/>
          <w:szCs w:val="18"/>
          <w:lang w:eastAsia="es-BO"/>
        </w:rPr>
        <w:t>unidades de proceso, afectando o con potencia</w:t>
      </w:r>
      <w:r w:rsidR="00312143" w:rsidRPr="00906E7C">
        <w:rPr>
          <w:rFonts w:ascii="Arial" w:eastAsia="Times New Roman" w:hAnsi="Arial" w:cs="Arial"/>
          <w:szCs w:val="18"/>
          <w:lang w:eastAsia="es-BO"/>
        </w:rPr>
        <w:t>l</w:t>
      </w:r>
      <w:r w:rsidR="00F9211A" w:rsidRPr="00906E7C">
        <w:rPr>
          <w:rFonts w:ascii="Arial" w:eastAsia="Times New Roman" w:hAnsi="Arial" w:cs="Arial"/>
          <w:szCs w:val="18"/>
          <w:lang w:eastAsia="es-BO"/>
        </w:rPr>
        <w:t xml:space="preserve"> de afectación de las operaciones de las refinerías</w:t>
      </w:r>
      <w:r w:rsidRPr="00906E7C">
        <w:rPr>
          <w:rFonts w:ascii="Arial" w:eastAsia="Times New Roman" w:hAnsi="Arial" w:cs="Arial"/>
          <w:szCs w:val="18"/>
          <w:lang w:eastAsia="es-BO"/>
        </w:rPr>
        <w:t xml:space="preserve">. </w:t>
      </w:r>
      <w:r w:rsidR="00F9211A" w:rsidRPr="00906E7C">
        <w:rPr>
          <w:rFonts w:ascii="Arial" w:eastAsia="Times New Roman" w:hAnsi="Arial" w:cs="Arial"/>
          <w:szCs w:val="18"/>
          <w:lang w:eastAsia="es-BO"/>
        </w:rPr>
        <w:t xml:space="preserve"> </w:t>
      </w:r>
    </w:p>
    <w:p w:rsidR="00DA3C02" w:rsidRPr="00906E7C" w:rsidRDefault="00DA3C02" w:rsidP="00173725">
      <w:pPr>
        <w:jc w:val="both"/>
        <w:rPr>
          <w:rFonts w:ascii="Arial" w:eastAsia="Times New Roman" w:hAnsi="Arial" w:cs="Arial"/>
          <w:szCs w:val="18"/>
          <w:lang w:eastAsia="es-BO"/>
        </w:rPr>
      </w:pPr>
      <w:r w:rsidRPr="00906E7C">
        <w:rPr>
          <w:rFonts w:ascii="Arial" w:eastAsia="Times New Roman" w:hAnsi="Arial" w:cs="Arial"/>
          <w:szCs w:val="18"/>
          <w:lang w:eastAsia="es-BO"/>
        </w:rPr>
        <w:t xml:space="preserve">En el contexto de la norma API  754 a la OAO se le llama de “Evento de seguridad de procesos”. </w:t>
      </w:r>
    </w:p>
    <w:p w:rsidR="00410BCC" w:rsidRPr="00906E7C" w:rsidRDefault="00410BCC" w:rsidP="00410BCC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  <w:bCs/>
          <w:szCs w:val="18"/>
        </w:rPr>
      </w:pPr>
      <w:r w:rsidRPr="00906E7C">
        <w:rPr>
          <w:rFonts w:ascii="Arial" w:hAnsi="Arial" w:cs="Arial"/>
          <w:b/>
          <w:bCs/>
          <w:szCs w:val="18"/>
        </w:rPr>
        <w:t xml:space="preserve">Características de la OAO: </w:t>
      </w:r>
    </w:p>
    <w:p w:rsidR="00410BCC" w:rsidRPr="00906E7C" w:rsidRDefault="00410BCC" w:rsidP="00410BCC">
      <w:pPr>
        <w:jc w:val="both"/>
        <w:rPr>
          <w:rFonts w:ascii="Arial" w:hAnsi="Arial" w:cs="Arial"/>
          <w:bCs/>
          <w:szCs w:val="18"/>
        </w:rPr>
      </w:pPr>
      <w:r w:rsidRPr="00906E7C">
        <w:rPr>
          <w:rFonts w:ascii="Arial" w:hAnsi="Arial" w:cs="Arial"/>
          <w:bCs/>
          <w:szCs w:val="18"/>
        </w:rPr>
        <w:t xml:space="preserve">Para que una OAO </w:t>
      </w:r>
      <w:r w:rsidR="00DA3C02" w:rsidRPr="00906E7C">
        <w:rPr>
          <w:rFonts w:ascii="Arial" w:hAnsi="Arial" w:cs="Arial"/>
          <w:bCs/>
          <w:szCs w:val="18"/>
        </w:rPr>
        <w:t xml:space="preserve">(llamada también “Evento de Seguridad de procesos”) </w:t>
      </w:r>
      <w:r w:rsidRPr="00906E7C">
        <w:rPr>
          <w:rFonts w:ascii="Arial" w:hAnsi="Arial" w:cs="Arial"/>
          <w:bCs/>
          <w:szCs w:val="18"/>
        </w:rPr>
        <w:t>sea categorizada como tal debe cumplir los siguientes criterios:</w:t>
      </w:r>
    </w:p>
    <w:p w:rsidR="00410BCC" w:rsidRPr="00906E7C" w:rsidRDefault="00410BCC" w:rsidP="00410BCC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Cs/>
          <w:szCs w:val="18"/>
        </w:rPr>
      </w:pPr>
      <w:r w:rsidRPr="00906E7C">
        <w:rPr>
          <w:rFonts w:ascii="Arial" w:hAnsi="Arial" w:cs="Arial"/>
          <w:b/>
          <w:bCs/>
          <w:szCs w:val="18"/>
        </w:rPr>
        <w:t xml:space="preserve">Proceso involucrado: </w:t>
      </w:r>
      <w:r w:rsidRPr="00906E7C">
        <w:rPr>
          <w:rFonts w:ascii="Arial" w:hAnsi="Arial" w:cs="Arial"/>
          <w:bCs/>
          <w:szCs w:val="18"/>
        </w:rPr>
        <w:t>el evento debe tener relación directa con un proceso físico químico (reactores, tanques, tuberías, calderas, torres de enfriamiento, sistemas de refrigeración) y con la participación de una sustancia química peligrosa o no peligrosa.</w:t>
      </w:r>
    </w:p>
    <w:p w:rsidR="00410BCC" w:rsidRPr="00906E7C" w:rsidRDefault="00410BCC" w:rsidP="00410BCC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Cs/>
          <w:szCs w:val="18"/>
        </w:rPr>
      </w:pPr>
      <w:r w:rsidRPr="00906E7C">
        <w:rPr>
          <w:rFonts w:ascii="Arial" w:hAnsi="Arial" w:cs="Arial"/>
          <w:b/>
          <w:bCs/>
          <w:szCs w:val="18"/>
        </w:rPr>
        <w:t xml:space="preserve">Ubicación: </w:t>
      </w:r>
      <w:r w:rsidRPr="00906E7C">
        <w:rPr>
          <w:rFonts w:ascii="Arial" w:hAnsi="Arial" w:cs="Arial"/>
          <w:bCs/>
          <w:szCs w:val="18"/>
        </w:rPr>
        <w:t>el evento debe ser en un área de producción, distribución, almacenamiento</w:t>
      </w:r>
      <w:r w:rsidR="00B34518">
        <w:rPr>
          <w:rFonts w:ascii="Arial" w:hAnsi="Arial" w:cs="Arial"/>
          <w:bCs/>
          <w:szCs w:val="18"/>
        </w:rPr>
        <w:t xml:space="preserve"> de tanques de hidrocarburos</w:t>
      </w:r>
      <w:r w:rsidRPr="00906E7C">
        <w:rPr>
          <w:rFonts w:ascii="Arial" w:hAnsi="Arial" w:cs="Arial"/>
          <w:bCs/>
          <w:szCs w:val="18"/>
        </w:rPr>
        <w:t xml:space="preserve">, servicios auxiliares, plantas pilotos, tuberías de distribución, y similares. </w:t>
      </w:r>
    </w:p>
    <w:p w:rsidR="00410BCC" w:rsidRPr="00906E7C" w:rsidRDefault="00410BCC" w:rsidP="00410BCC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  <w:bCs/>
          <w:szCs w:val="18"/>
        </w:rPr>
      </w:pPr>
      <w:r w:rsidRPr="00906E7C">
        <w:rPr>
          <w:rFonts w:ascii="Arial" w:hAnsi="Arial" w:cs="Arial"/>
          <w:b/>
          <w:bCs/>
          <w:szCs w:val="18"/>
        </w:rPr>
        <w:t xml:space="preserve">Emisión súbita o Instantánea: </w:t>
      </w:r>
      <w:r w:rsidRPr="00906E7C">
        <w:rPr>
          <w:rFonts w:ascii="Arial" w:hAnsi="Arial" w:cs="Arial"/>
          <w:bCs/>
          <w:szCs w:val="18"/>
        </w:rPr>
        <w:t>Implica la liberación (o potencial liberación) de cualquier material inflamable, o no toxico (vapor, condensado, nitrógeno, aire comprimido) de algún proceso, siendo no planeada o no controlada</w:t>
      </w:r>
    </w:p>
    <w:p w:rsidR="00410BCC" w:rsidRPr="00906E7C" w:rsidRDefault="00410BCC" w:rsidP="00410BCC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b/>
          <w:bCs/>
          <w:szCs w:val="18"/>
        </w:rPr>
      </w:pPr>
      <w:r w:rsidRPr="00906E7C">
        <w:rPr>
          <w:rFonts w:ascii="Arial" w:hAnsi="Arial" w:cs="Arial"/>
          <w:b/>
          <w:bCs/>
          <w:szCs w:val="18"/>
        </w:rPr>
        <w:t xml:space="preserve">Este por encima de umbrales mínimos: </w:t>
      </w:r>
      <w:r w:rsidRPr="00906E7C">
        <w:rPr>
          <w:rFonts w:ascii="Arial" w:hAnsi="Arial" w:cs="Arial"/>
          <w:bCs/>
          <w:szCs w:val="18"/>
        </w:rPr>
        <w:t>Regla de “1 hora” la liberación de material alcanza o excede un umbral de reporte, dentro de este periodo, además de otras consecuencias que me permitirían la clasificación de cada OAO en nivel 1, nivel 2 o casi accidente (ver numerales 3 al</w:t>
      </w:r>
      <w:r w:rsidR="00D45620" w:rsidRPr="00906E7C">
        <w:rPr>
          <w:rFonts w:ascii="Arial" w:hAnsi="Arial" w:cs="Arial"/>
          <w:bCs/>
          <w:szCs w:val="18"/>
        </w:rPr>
        <w:t xml:space="preserve"> 5</w:t>
      </w:r>
      <w:r w:rsidRPr="00906E7C">
        <w:rPr>
          <w:rFonts w:ascii="Arial" w:hAnsi="Arial" w:cs="Arial"/>
          <w:bCs/>
          <w:szCs w:val="18"/>
        </w:rPr>
        <w:t xml:space="preserve">). </w:t>
      </w:r>
      <w:r w:rsidRPr="00906E7C">
        <w:rPr>
          <w:rFonts w:ascii="Arial" w:hAnsi="Arial" w:cs="Arial"/>
          <w:b/>
          <w:bCs/>
          <w:szCs w:val="18"/>
        </w:rPr>
        <w:t xml:space="preserve"> </w:t>
      </w:r>
    </w:p>
    <w:p w:rsidR="00DA3C02" w:rsidRPr="00906E7C" w:rsidRDefault="00DA3C02" w:rsidP="00DA3C02">
      <w:pPr>
        <w:jc w:val="both"/>
        <w:rPr>
          <w:rFonts w:ascii="Arial" w:eastAsia="Times New Roman" w:hAnsi="Arial" w:cs="Arial"/>
          <w:szCs w:val="18"/>
          <w:lang w:eastAsia="es-BO"/>
        </w:rPr>
      </w:pPr>
    </w:p>
    <w:p w:rsidR="00DA3C02" w:rsidRPr="00906E7C" w:rsidRDefault="00DA3C02" w:rsidP="00DA3C02">
      <w:pPr>
        <w:jc w:val="both"/>
        <w:rPr>
          <w:rFonts w:ascii="Arial" w:eastAsia="Times New Roman" w:hAnsi="Arial" w:cs="Arial"/>
          <w:szCs w:val="18"/>
          <w:lang w:eastAsia="es-BO"/>
        </w:rPr>
      </w:pPr>
      <w:r w:rsidRPr="00906E7C">
        <w:rPr>
          <w:rFonts w:ascii="Arial" w:eastAsia="Times New Roman" w:hAnsi="Arial" w:cs="Arial"/>
          <w:szCs w:val="18"/>
          <w:lang w:eastAsia="es-BO"/>
        </w:rPr>
        <w:t>A su vez, la Ocurrencia Anormal Operativa se sub clasifica en:</w:t>
      </w:r>
    </w:p>
    <w:p w:rsidR="00DA3C02" w:rsidRPr="00906E7C" w:rsidRDefault="00DA3C02" w:rsidP="00DA3C0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</w:rPr>
        <w:t>Evento de Seguridad de Proceso – Nivel 1</w:t>
      </w:r>
    </w:p>
    <w:p w:rsidR="00DA3C02" w:rsidRPr="00906E7C" w:rsidRDefault="00DA3C02" w:rsidP="00DA3C02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</w:rPr>
        <w:t>Evento de Seguridad de Proceso – Nivel 2</w:t>
      </w:r>
    </w:p>
    <w:p w:rsidR="00DA3C02" w:rsidRPr="00906E7C" w:rsidRDefault="00DA3C02" w:rsidP="00DA3C02">
      <w:pPr>
        <w:pStyle w:val="Prrafodelista"/>
        <w:numPr>
          <w:ilvl w:val="0"/>
          <w:numId w:val="1"/>
        </w:numPr>
        <w:jc w:val="both"/>
        <w:rPr>
          <w:rFonts w:ascii="Arial" w:eastAsia="Times New Roman" w:hAnsi="Arial" w:cs="Arial"/>
          <w:szCs w:val="18"/>
          <w:lang w:eastAsia="es-BO"/>
        </w:rPr>
      </w:pPr>
      <w:r w:rsidRPr="00906E7C">
        <w:rPr>
          <w:rFonts w:ascii="Arial" w:hAnsi="Arial" w:cs="Arial"/>
          <w:szCs w:val="18"/>
        </w:rPr>
        <w:t xml:space="preserve">Incidente (Casi accidente) de Seguridad de proceso </w:t>
      </w:r>
    </w:p>
    <w:p w:rsidR="00410BCC" w:rsidRPr="00906E7C" w:rsidRDefault="00410BCC" w:rsidP="00173725">
      <w:pPr>
        <w:jc w:val="both"/>
        <w:rPr>
          <w:rFonts w:ascii="Arial" w:hAnsi="Arial" w:cs="Arial"/>
          <w:b/>
          <w:szCs w:val="18"/>
        </w:rPr>
      </w:pPr>
    </w:p>
    <w:p w:rsidR="001F0CB8" w:rsidRPr="00906E7C" w:rsidRDefault="001F0CB8" w:rsidP="00410BCC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b/>
          <w:szCs w:val="18"/>
        </w:rPr>
        <w:t>Evento de Seguridad de Proceso – Nivel 1:</w:t>
      </w:r>
      <w:r w:rsidRPr="00906E7C">
        <w:rPr>
          <w:rFonts w:ascii="Arial" w:hAnsi="Arial" w:cs="Arial"/>
          <w:szCs w:val="18"/>
        </w:rPr>
        <w:t xml:space="preserve"> Ocurrencia anormal operativa </w:t>
      </w:r>
      <w:r w:rsidR="002C19BE" w:rsidRPr="00906E7C">
        <w:rPr>
          <w:rFonts w:ascii="Arial" w:hAnsi="Arial" w:cs="Arial"/>
          <w:szCs w:val="18"/>
        </w:rPr>
        <w:t xml:space="preserve">con pérdida de contención primaria, </w:t>
      </w:r>
      <w:r w:rsidRPr="00906E7C">
        <w:rPr>
          <w:rFonts w:ascii="Arial" w:hAnsi="Arial" w:cs="Arial"/>
          <w:szCs w:val="18"/>
        </w:rPr>
        <w:t xml:space="preserve">que tiene </w:t>
      </w:r>
      <w:r w:rsidR="002C19BE" w:rsidRPr="00906E7C">
        <w:rPr>
          <w:rFonts w:ascii="Arial" w:hAnsi="Arial" w:cs="Arial"/>
          <w:b/>
          <w:szCs w:val="18"/>
        </w:rPr>
        <w:t>al menos una</w:t>
      </w:r>
      <w:r w:rsidR="002C19BE" w:rsidRPr="00906E7C">
        <w:rPr>
          <w:rFonts w:ascii="Arial" w:hAnsi="Arial" w:cs="Arial"/>
          <w:szCs w:val="18"/>
        </w:rPr>
        <w:t xml:space="preserve"> de </w:t>
      </w:r>
      <w:r w:rsidRPr="00906E7C">
        <w:rPr>
          <w:rFonts w:ascii="Arial" w:hAnsi="Arial" w:cs="Arial"/>
          <w:szCs w:val="18"/>
        </w:rPr>
        <w:t xml:space="preserve">las siguientes </w:t>
      </w:r>
      <w:r w:rsidR="002C19BE" w:rsidRPr="00906E7C">
        <w:rPr>
          <w:rFonts w:ascii="Arial" w:hAnsi="Arial" w:cs="Arial"/>
          <w:szCs w:val="18"/>
        </w:rPr>
        <w:t>consecuencias/características</w:t>
      </w:r>
      <w:r w:rsidRPr="00906E7C">
        <w:rPr>
          <w:rFonts w:ascii="Arial" w:hAnsi="Arial" w:cs="Arial"/>
          <w:szCs w:val="18"/>
        </w:rPr>
        <w:t>:</w:t>
      </w:r>
    </w:p>
    <w:p w:rsidR="00410BCC" w:rsidRPr="00906E7C" w:rsidRDefault="00410BCC" w:rsidP="00410BCC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:rsidR="001F0CB8" w:rsidRPr="00906E7C" w:rsidRDefault="001F0CB8" w:rsidP="00173725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 xml:space="preserve">Un accidente con baja médica de un empleado o contratista o fatalidad de un empleado </w:t>
      </w:r>
    </w:p>
    <w:p w:rsidR="001F0CB8" w:rsidRPr="00906E7C" w:rsidRDefault="001F0CB8" w:rsidP="00173725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Declaración oficial de evacuación o confinamiento de la comunidad</w:t>
      </w:r>
    </w:p>
    <w:p w:rsidR="001F0CB8" w:rsidRPr="00906E7C" w:rsidRDefault="001F0CB8" w:rsidP="00173725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Incendios o explosiones resultantes en costo directo para la empresa mayor o igual a U$S 25.000.</w:t>
      </w:r>
    </w:p>
    <w:p w:rsidR="001F0CB8" w:rsidRPr="00906E7C" w:rsidRDefault="001F0CB8" w:rsidP="00EA05B9">
      <w:pPr>
        <w:pStyle w:val="Prrafodelista"/>
        <w:numPr>
          <w:ilvl w:val="0"/>
          <w:numId w:val="3"/>
        </w:numPr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lastRenderedPageBreak/>
        <w:t>Una descarga de un dispositivo de alivio de presión (PRD), ya sea</w:t>
      </w:r>
      <w:r w:rsidR="002C19BE" w:rsidRPr="00906E7C">
        <w:rPr>
          <w:rFonts w:ascii="Arial" w:hAnsi="Arial" w:cs="Arial"/>
          <w:szCs w:val="18"/>
          <w:lang w:val="es-ES"/>
        </w:rPr>
        <w:t xml:space="preserve"> </w:t>
      </w:r>
      <w:r w:rsidRPr="00906E7C">
        <w:rPr>
          <w:rFonts w:ascii="Arial" w:hAnsi="Arial" w:cs="Arial"/>
          <w:szCs w:val="18"/>
          <w:lang w:val="es-ES"/>
        </w:rPr>
        <w:t xml:space="preserve">directamente o a través de un dispositivo de destrucción ubicado aguas abajo que resulta en: </w:t>
      </w:r>
    </w:p>
    <w:p w:rsidR="001F0CB8" w:rsidRPr="00906E7C" w:rsidRDefault="001F0CB8" w:rsidP="00EA05B9">
      <w:pPr>
        <w:pStyle w:val="Prrafodelista"/>
        <w:numPr>
          <w:ilvl w:val="0"/>
          <w:numId w:val="5"/>
        </w:numPr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 xml:space="preserve">arrastre de líquido </w:t>
      </w:r>
    </w:p>
    <w:p w:rsidR="001F0CB8" w:rsidRPr="00906E7C" w:rsidRDefault="001F0CB8" w:rsidP="00EA05B9">
      <w:pPr>
        <w:pStyle w:val="Prrafodelista"/>
        <w:numPr>
          <w:ilvl w:val="0"/>
          <w:numId w:val="5"/>
        </w:numPr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descarga a un lugar potencialmente peligroso</w:t>
      </w:r>
    </w:p>
    <w:p w:rsidR="001F0CB8" w:rsidRPr="00906E7C" w:rsidRDefault="001F0CB8" w:rsidP="00EA05B9">
      <w:pPr>
        <w:pStyle w:val="Prrafodelista"/>
        <w:numPr>
          <w:ilvl w:val="0"/>
          <w:numId w:val="5"/>
        </w:numPr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descarga a un lugar confinado</w:t>
      </w:r>
    </w:p>
    <w:p w:rsidR="001F0CB8" w:rsidRPr="00906E7C" w:rsidRDefault="001F0CB8" w:rsidP="00EA05B9">
      <w:pPr>
        <w:pStyle w:val="Prrafodelista"/>
        <w:numPr>
          <w:ilvl w:val="0"/>
          <w:numId w:val="5"/>
        </w:numPr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medidas públicas de protección (Ej.: cierre de carreteras)</w:t>
      </w:r>
    </w:p>
    <w:p w:rsidR="001F0CB8" w:rsidRPr="00906E7C" w:rsidRDefault="001F0CB8" w:rsidP="00EA05B9">
      <w:pPr>
        <w:pStyle w:val="Prrafodelista"/>
        <w:numPr>
          <w:ilvl w:val="0"/>
          <w:numId w:val="5"/>
        </w:numPr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descarga que supere umbrales de la Tabla 1 en un periodo de 1 hora</w:t>
      </w:r>
    </w:p>
    <w:p w:rsidR="001F0CB8" w:rsidRPr="00906E7C" w:rsidRDefault="002C19BE" w:rsidP="00173725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Una emisión instantánea de productos químicos inflamables, combustibles o tóxicos superior a las cantidades umbrales</w:t>
      </w:r>
      <w:r w:rsidR="00B34518">
        <w:rPr>
          <w:rFonts w:ascii="Arial" w:hAnsi="Arial" w:cs="Arial"/>
          <w:szCs w:val="18"/>
          <w:lang w:val="es-ES"/>
        </w:rPr>
        <w:t xml:space="preserve"> (entiéndase por umbral, que sería a partir de dicha cantidad; es decir “mayor o igual a”)</w:t>
      </w:r>
      <w:r w:rsidRPr="00906E7C">
        <w:rPr>
          <w:rFonts w:ascii="Arial" w:hAnsi="Arial" w:cs="Arial"/>
          <w:szCs w:val="18"/>
          <w:lang w:val="es-ES"/>
        </w:rPr>
        <w:t xml:space="preserve"> de emisiones químicas descritas en la Tabla 1:</w:t>
      </w:r>
    </w:p>
    <w:p w:rsidR="00DA3C02" w:rsidRPr="00906E7C" w:rsidRDefault="00DA3C02" w:rsidP="00DA3C02">
      <w:pPr>
        <w:pStyle w:val="Prrafodelista"/>
        <w:jc w:val="both"/>
        <w:rPr>
          <w:rFonts w:ascii="Arial" w:hAnsi="Arial" w:cs="Arial"/>
          <w:szCs w:val="18"/>
        </w:rPr>
      </w:pPr>
    </w:p>
    <w:p w:rsidR="00DA3C02" w:rsidRPr="00906E7C" w:rsidRDefault="00DA3C02" w:rsidP="00DA3C02">
      <w:pPr>
        <w:pStyle w:val="Prrafodelista"/>
        <w:jc w:val="center"/>
        <w:rPr>
          <w:rFonts w:ascii="Arial" w:hAnsi="Arial" w:cs="Arial"/>
          <w:szCs w:val="18"/>
        </w:rPr>
      </w:pPr>
      <w:r w:rsidRPr="00906E7C">
        <w:rPr>
          <w:noProof/>
          <w:sz w:val="20"/>
          <w:lang w:eastAsia="es-BO"/>
        </w:rPr>
        <w:drawing>
          <wp:inline distT="0" distB="0" distL="0" distR="0" wp14:anchorId="058B8841" wp14:editId="54F6E72D">
            <wp:extent cx="5506505" cy="3912782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42007"/>
                    <a:stretch/>
                  </pic:blipFill>
                  <pic:spPr bwMode="auto">
                    <a:xfrm>
                      <a:off x="0" y="0"/>
                      <a:ext cx="5551550" cy="39447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19BE" w:rsidRPr="00906E7C" w:rsidRDefault="00DA3C02" w:rsidP="002C19BE">
      <w:pPr>
        <w:jc w:val="center"/>
        <w:rPr>
          <w:rFonts w:ascii="Arial" w:hAnsi="Arial" w:cs="Arial"/>
          <w:sz w:val="16"/>
          <w:szCs w:val="18"/>
        </w:rPr>
      </w:pPr>
      <w:r w:rsidRPr="00906E7C">
        <w:rPr>
          <w:noProof/>
          <w:sz w:val="20"/>
          <w:lang w:eastAsia="es-BO"/>
        </w:rPr>
        <w:lastRenderedPageBreak/>
        <w:drawing>
          <wp:inline distT="0" distB="0" distL="0" distR="0" wp14:anchorId="3AA036F3" wp14:editId="3FDDAA72">
            <wp:extent cx="5459100" cy="2892056"/>
            <wp:effectExtent l="0" t="0" r="8255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56763"/>
                    <a:stretch/>
                  </pic:blipFill>
                  <pic:spPr bwMode="auto">
                    <a:xfrm>
                      <a:off x="0" y="0"/>
                      <a:ext cx="5496620" cy="29119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3725" w:rsidRPr="00906E7C" w:rsidRDefault="00DA3C02" w:rsidP="00DA3C02">
      <w:pPr>
        <w:jc w:val="center"/>
        <w:rPr>
          <w:rFonts w:ascii="Arial" w:hAnsi="Arial" w:cs="Arial"/>
          <w:b/>
          <w:szCs w:val="18"/>
        </w:rPr>
      </w:pPr>
      <w:r w:rsidRPr="00906E7C">
        <w:rPr>
          <w:noProof/>
          <w:sz w:val="20"/>
          <w:lang w:eastAsia="es-BO"/>
        </w:rPr>
        <w:drawing>
          <wp:inline distT="0" distB="0" distL="0" distR="0" wp14:anchorId="209B2B41" wp14:editId="629F178D">
            <wp:extent cx="5437058" cy="191386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5712" cy="1930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C02" w:rsidRPr="00906E7C" w:rsidRDefault="00DA3C02" w:rsidP="00DA3C02">
      <w:pPr>
        <w:jc w:val="both"/>
        <w:rPr>
          <w:rFonts w:ascii="Arial" w:hAnsi="Arial" w:cs="Arial"/>
          <w:b/>
          <w:bCs/>
          <w:szCs w:val="18"/>
        </w:rPr>
      </w:pPr>
    </w:p>
    <w:p w:rsidR="00DA3C02" w:rsidRPr="00906E7C" w:rsidRDefault="00DA3C02" w:rsidP="00DA3C02">
      <w:pPr>
        <w:jc w:val="both"/>
        <w:rPr>
          <w:rFonts w:ascii="Arial" w:hAnsi="Arial" w:cs="Arial"/>
          <w:b/>
          <w:bCs/>
          <w:szCs w:val="18"/>
        </w:rPr>
      </w:pPr>
      <w:r w:rsidRPr="00906E7C">
        <w:rPr>
          <w:rFonts w:ascii="Arial" w:hAnsi="Arial" w:cs="Arial"/>
          <w:b/>
          <w:bCs/>
          <w:szCs w:val="18"/>
        </w:rPr>
        <w:t xml:space="preserve">Diagrama de flujo para determinar si un incidente reúne los requerimientos para ser definido como un OAO Nivel 1. </w:t>
      </w:r>
    </w:p>
    <w:p w:rsidR="00DA3C02" w:rsidRPr="00906E7C" w:rsidRDefault="00DA3C02" w:rsidP="00DA3C02">
      <w:pPr>
        <w:jc w:val="both"/>
        <w:rPr>
          <w:rFonts w:ascii="Arial" w:hAnsi="Arial" w:cs="Arial"/>
          <w:b/>
          <w:szCs w:val="18"/>
        </w:rPr>
      </w:pPr>
      <w:r w:rsidRPr="00906E7C">
        <w:rPr>
          <w:rFonts w:ascii="Arial" w:hAnsi="Arial" w:cs="Arial"/>
          <w:b/>
          <w:noProof/>
          <w:szCs w:val="18"/>
          <w:lang w:eastAsia="es-BO"/>
        </w:rPr>
        <w:lastRenderedPageBreak/>
        <w:drawing>
          <wp:inline distT="0" distB="0" distL="0" distR="0" wp14:anchorId="4D00B8A9" wp14:editId="2FB908D5">
            <wp:extent cx="5972330" cy="2881423"/>
            <wp:effectExtent l="0" t="0" r="0" b="0"/>
            <wp:docPr id="614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Imagen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82" cy="2884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A3C02" w:rsidRPr="00906E7C" w:rsidRDefault="00DA3C02" w:rsidP="002C19BE">
      <w:pPr>
        <w:rPr>
          <w:rFonts w:ascii="Arial" w:hAnsi="Arial" w:cs="Arial"/>
          <w:b/>
          <w:szCs w:val="18"/>
        </w:rPr>
      </w:pPr>
    </w:p>
    <w:p w:rsidR="002C19BE" w:rsidRPr="00906E7C" w:rsidRDefault="001F0CB8" w:rsidP="00DA3C0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b/>
          <w:szCs w:val="18"/>
        </w:rPr>
        <w:t>Evento de Seguridad de Proceso – Nivel 2</w:t>
      </w:r>
      <w:r w:rsidR="002C19BE" w:rsidRPr="00906E7C">
        <w:rPr>
          <w:rFonts w:ascii="Arial" w:hAnsi="Arial" w:cs="Arial"/>
          <w:b/>
          <w:szCs w:val="18"/>
        </w:rPr>
        <w:t>:</w:t>
      </w:r>
      <w:r w:rsidR="002C19BE" w:rsidRPr="00906E7C">
        <w:rPr>
          <w:rFonts w:ascii="Arial" w:hAnsi="Arial" w:cs="Arial"/>
          <w:szCs w:val="18"/>
        </w:rPr>
        <w:t xml:space="preserve"> </w:t>
      </w:r>
      <w:r w:rsidR="002C19BE" w:rsidRPr="00906E7C">
        <w:rPr>
          <w:rFonts w:ascii="Arial" w:hAnsi="Arial" w:cs="Arial"/>
          <w:szCs w:val="18"/>
          <w:lang w:val="es-ES"/>
        </w:rPr>
        <w:t xml:space="preserve">Es también una ocurrencia anormal operativa con pérdida de contención primaria, pero con menores consecuencias que el “Evento de Seguridad de procesos- Nivel 1”. </w:t>
      </w:r>
      <w:r w:rsidR="002C19BE" w:rsidRPr="00906E7C">
        <w:rPr>
          <w:rFonts w:ascii="Arial" w:hAnsi="Arial" w:cs="Arial"/>
          <w:szCs w:val="18"/>
        </w:rPr>
        <w:t>Tiene al menos una de las siguientes consecuencias/características:</w:t>
      </w:r>
    </w:p>
    <w:p w:rsidR="00296765" w:rsidRPr="00906E7C" w:rsidRDefault="00C422A7" w:rsidP="00173725">
      <w:pPr>
        <w:numPr>
          <w:ilvl w:val="0"/>
          <w:numId w:val="8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Un accidente “reportable” de un empleado</w:t>
      </w:r>
      <w:r w:rsidR="00DA3C02" w:rsidRPr="00906E7C">
        <w:rPr>
          <w:rFonts w:ascii="Arial" w:hAnsi="Arial" w:cs="Arial"/>
          <w:szCs w:val="18"/>
          <w:lang w:val="es-ES"/>
        </w:rPr>
        <w:t>,</w:t>
      </w:r>
      <w:r w:rsidRPr="00906E7C">
        <w:rPr>
          <w:rFonts w:ascii="Arial" w:hAnsi="Arial" w:cs="Arial"/>
          <w:szCs w:val="18"/>
          <w:lang w:val="es-ES"/>
        </w:rPr>
        <w:t xml:space="preserve"> contratista </w:t>
      </w:r>
      <w:r w:rsidR="00DA3C02" w:rsidRPr="00906E7C">
        <w:rPr>
          <w:rFonts w:ascii="Arial" w:hAnsi="Arial" w:cs="Arial"/>
          <w:szCs w:val="18"/>
          <w:lang w:val="es-ES"/>
        </w:rPr>
        <w:t xml:space="preserve">o subcontratista </w:t>
      </w:r>
      <w:r w:rsidRPr="00906E7C">
        <w:rPr>
          <w:rFonts w:ascii="Arial" w:hAnsi="Arial" w:cs="Arial"/>
          <w:szCs w:val="18"/>
          <w:lang w:val="es-ES"/>
        </w:rPr>
        <w:t>(Accidente sin baja médica)</w:t>
      </w:r>
    </w:p>
    <w:p w:rsidR="00DA3C02" w:rsidRPr="00906E7C" w:rsidRDefault="00C422A7" w:rsidP="00DA3C02">
      <w:pPr>
        <w:numPr>
          <w:ilvl w:val="0"/>
          <w:numId w:val="8"/>
        </w:numPr>
        <w:jc w:val="both"/>
        <w:rPr>
          <w:rFonts w:ascii="Arial" w:hAnsi="Arial" w:cs="Arial"/>
          <w:szCs w:val="18"/>
          <w:lang w:val="es-ES"/>
        </w:rPr>
      </w:pPr>
      <w:r w:rsidRPr="00906E7C">
        <w:rPr>
          <w:rFonts w:ascii="Arial" w:hAnsi="Arial" w:cs="Arial"/>
          <w:szCs w:val="18"/>
          <w:lang w:val="es-ES"/>
        </w:rPr>
        <w:t>Incendios o explosiones resultantes en costo directo para la empresa mayor o igual a U$S 2500.</w:t>
      </w:r>
    </w:p>
    <w:p w:rsidR="00DA3C02" w:rsidRPr="00906E7C" w:rsidRDefault="00DA3C02" w:rsidP="00C7004C">
      <w:pPr>
        <w:numPr>
          <w:ilvl w:val="0"/>
          <w:numId w:val="8"/>
        </w:numPr>
        <w:jc w:val="both"/>
        <w:rPr>
          <w:rFonts w:ascii="Arial" w:hAnsi="Arial" w:cs="Arial"/>
          <w:szCs w:val="18"/>
          <w:lang w:val="es-ES"/>
        </w:rPr>
      </w:pPr>
      <w:r w:rsidRPr="00906E7C">
        <w:rPr>
          <w:rFonts w:ascii="Arial" w:hAnsi="Arial" w:cs="Arial"/>
          <w:szCs w:val="18"/>
          <w:lang w:val="es-ES"/>
        </w:rPr>
        <w:t xml:space="preserve">Una emisión súbita de productos químicos inflamables, combustibles o tóxicos de la contención primaria (es decir, el recipiente o cañería o </w:t>
      </w:r>
      <w:r w:rsidR="00D45620" w:rsidRPr="00906E7C">
        <w:rPr>
          <w:rFonts w:ascii="Arial" w:hAnsi="Arial" w:cs="Arial"/>
          <w:szCs w:val="18"/>
          <w:lang w:val="es-ES"/>
        </w:rPr>
        <w:t>tubería</w:t>
      </w:r>
      <w:r w:rsidRPr="00906E7C">
        <w:rPr>
          <w:rFonts w:ascii="Arial" w:hAnsi="Arial" w:cs="Arial"/>
          <w:szCs w:val="18"/>
          <w:lang w:val="es-ES"/>
        </w:rPr>
        <w:t>) superior a las cantidades umbrales</w:t>
      </w:r>
      <w:r w:rsidR="00B34518">
        <w:rPr>
          <w:rFonts w:ascii="Arial" w:hAnsi="Arial" w:cs="Arial"/>
          <w:szCs w:val="18"/>
          <w:lang w:val="es-ES"/>
        </w:rPr>
        <w:t xml:space="preserve"> (entiéndase por umbral, que sería a partir de dicha cantidad; es decir “mayor o igual a”)</w:t>
      </w:r>
      <w:r w:rsidR="00B34518" w:rsidRPr="00906E7C">
        <w:rPr>
          <w:rFonts w:ascii="Arial" w:hAnsi="Arial" w:cs="Arial"/>
          <w:szCs w:val="18"/>
          <w:lang w:val="es-ES"/>
        </w:rPr>
        <w:t xml:space="preserve"> </w:t>
      </w:r>
      <w:r w:rsidRPr="00906E7C">
        <w:rPr>
          <w:rFonts w:ascii="Arial" w:hAnsi="Arial" w:cs="Arial"/>
          <w:szCs w:val="18"/>
          <w:lang w:val="es-ES"/>
        </w:rPr>
        <w:t xml:space="preserve"> de emisiones químicas descritas en la Tabla </w:t>
      </w:r>
      <w:r w:rsidR="00D45620" w:rsidRPr="00906E7C">
        <w:rPr>
          <w:rFonts w:ascii="Arial" w:hAnsi="Arial" w:cs="Arial"/>
          <w:szCs w:val="18"/>
          <w:lang w:val="es-ES"/>
        </w:rPr>
        <w:t xml:space="preserve"> 2. </w:t>
      </w:r>
      <w:r w:rsidRPr="00906E7C">
        <w:rPr>
          <w:rFonts w:ascii="Arial" w:hAnsi="Arial" w:cs="Arial"/>
          <w:szCs w:val="18"/>
          <w:lang w:val="es-ES"/>
        </w:rPr>
        <w:t xml:space="preserve"> Note que la Tabla tiene una columna con</w:t>
      </w:r>
      <w:r w:rsidR="00D45620" w:rsidRPr="00906E7C">
        <w:rPr>
          <w:rFonts w:ascii="Arial" w:hAnsi="Arial" w:cs="Arial"/>
          <w:szCs w:val="18"/>
          <w:lang w:val="es-ES"/>
        </w:rPr>
        <w:t xml:space="preserve"> “</w:t>
      </w:r>
      <w:r w:rsidRPr="00906E7C">
        <w:rPr>
          <w:rFonts w:ascii="Arial" w:hAnsi="Arial" w:cs="Arial"/>
          <w:szCs w:val="18"/>
          <w:lang w:val="es-ES"/>
        </w:rPr>
        <w:t>Nivel de Cantidad de Umbral recomendados para derrames en lugares cerrados</w:t>
      </w:r>
      <w:r w:rsidR="00D45620" w:rsidRPr="00906E7C">
        <w:rPr>
          <w:rFonts w:ascii="Arial" w:hAnsi="Arial" w:cs="Arial"/>
          <w:szCs w:val="18"/>
          <w:lang w:val="es-ES"/>
        </w:rPr>
        <w:t>”</w:t>
      </w:r>
    </w:p>
    <w:p w:rsidR="002C19BE" w:rsidRPr="00906E7C" w:rsidRDefault="002C19BE" w:rsidP="00173725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Una descarga de un dispositivo de alivio de presión (PRD), ya sea</w:t>
      </w:r>
      <w:r w:rsidR="00B443DB" w:rsidRPr="00906E7C">
        <w:rPr>
          <w:rFonts w:ascii="Arial" w:hAnsi="Arial" w:cs="Arial"/>
          <w:szCs w:val="18"/>
          <w:lang w:val="es-ES"/>
        </w:rPr>
        <w:t xml:space="preserve"> </w:t>
      </w:r>
      <w:r w:rsidRPr="00906E7C">
        <w:rPr>
          <w:rFonts w:ascii="Arial" w:hAnsi="Arial" w:cs="Arial"/>
          <w:szCs w:val="18"/>
          <w:lang w:val="es-ES"/>
        </w:rPr>
        <w:t xml:space="preserve">directamente o a través de un dispositivo de destrucción ubicado aguas abajo que resulta en: </w:t>
      </w:r>
    </w:p>
    <w:p w:rsidR="002C19BE" w:rsidRPr="00906E7C" w:rsidRDefault="002C19BE" w:rsidP="00173725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 xml:space="preserve">arrastre de líquido </w:t>
      </w:r>
    </w:p>
    <w:p w:rsidR="002C19BE" w:rsidRPr="00906E7C" w:rsidRDefault="002C19BE" w:rsidP="00173725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descarga a un lugar potencialmente peligroso</w:t>
      </w:r>
    </w:p>
    <w:p w:rsidR="002C19BE" w:rsidRPr="00906E7C" w:rsidRDefault="002C19BE" w:rsidP="00173725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descarga a un lugar confinado</w:t>
      </w:r>
    </w:p>
    <w:p w:rsidR="002C19BE" w:rsidRPr="00906E7C" w:rsidRDefault="002C19BE" w:rsidP="00173725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medidas públicas de protección (Ej.: cierre de carreteras)</w:t>
      </w:r>
    </w:p>
    <w:p w:rsidR="002C19BE" w:rsidRPr="00906E7C" w:rsidRDefault="002C19BE" w:rsidP="00173725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Cs w:val="18"/>
        </w:rPr>
      </w:pPr>
      <w:r w:rsidRPr="00906E7C">
        <w:rPr>
          <w:rFonts w:ascii="Arial" w:hAnsi="Arial" w:cs="Arial"/>
          <w:szCs w:val="18"/>
          <w:lang w:val="es-ES"/>
        </w:rPr>
        <w:t>descarga que supere umbrales de la Tabla 2 en un periodo de 1 hora</w:t>
      </w:r>
    </w:p>
    <w:p w:rsidR="00173725" w:rsidRPr="00906E7C" w:rsidRDefault="00D45620" w:rsidP="00D45620">
      <w:pPr>
        <w:jc w:val="center"/>
        <w:rPr>
          <w:rFonts w:ascii="Arial" w:hAnsi="Arial" w:cs="Arial"/>
          <w:b/>
          <w:sz w:val="16"/>
          <w:szCs w:val="18"/>
        </w:rPr>
      </w:pPr>
      <w:r w:rsidRPr="00906E7C">
        <w:rPr>
          <w:noProof/>
          <w:sz w:val="20"/>
          <w:lang w:eastAsia="es-BO"/>
        </w:rPr>
        <w:lastRenderedPageBreak/>
        <w:drawing>
          <wp:inline distT="0" distB="0" distL="0" distR="0" wp14:anchorId="39FE9226" wp14:editId="0FB00DA7">
            <wp:extent cx="5776595" cy="4253023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2429"/>
                    <a:stretch/>
                  </pic:blipFill>
                  <pic:spPr bwMode="auto">
                    <a:xfrm>
                      <a:off x="0" y="0"/>
                      <a:ext cx="5785589" cy="4259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06E7C">
        <w:rPr>
          <w:noProof/>
          <w:sz w:val="20"/>
          <w:lang w:eastAsia="es-BO"/>
        </w:rPr>
        <w:drawing>
          <wp:inline distT="0" distB="0" distL="0" distR="0" wp14:anchorId="4150436F" wp14:editId="7F81D0A7">
            <wp:extent cx="5667153" cy="2308413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51332"/>
                    <a:stretch/>
                  </pic:blipFill>
                  <pic:spPr bwMode="auto">
                    <a:xfrm>
                      <a:off x="0" y="0"/>
                      <a:ext cx="5677843" cy="23127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5620" w:rsidRPr="00906E7C" w:rsidRDefault="00D45620" w:rsidP="00D45620">
      <w:pPr>
        <w:jc w:val="center"/>
        <w:rPr>
          <w:rFonts w:ascii="Arial" w:hAnsi="Arial" w:cs="Arial"/>
          <w:b/>
          <w:sz w:val="16"/>
          <w:szCs w:val="18"/>
        </w:rPr>
      </w:pPr>
    </w:p>
    <w:p w:rsidR="00D45620" w:rsidRPr="00906E7C" w:rsidRDefault="00D45620" w:rsidP="00D45620">
      <w:pPr>
        <w:jc w:val="center"/>
        <w:rPr>
          <w:rFonts w:ascii="Arial" w:hAnsi="Arial" w:cs="Arial"/>
          <w:b/>
          <w:sz w:val="16"/>
          <w:szCs w:val="18"/>
        </w:rPr>
      </w:pPr>
    </w:p>
    <w:p w:rsidR="00D45620" w:rsidRPr="00906E7C" w:rsidRDefault="00D45620" w:rsidP="00D45620">
      <w:pPr>
        <w:jc w:val="center"/>
        <w:rPr>
          <w:rFonts w:ascii="Arial" w:hAnsi="Arial" w:cs="Arial"/>
          <w:b/>
          <w:sz w:val="16"/>
          <w:szCs w:val="18"/>
        </w:rPr>
      </w:pPr>
    </w:p>
    <w:p w:rsidR="00D45620" w:rsidRPr="00906E7C" w:rsidRDefault="00D45620" w:rsidP="00D45620">
      <w:pPr>
        <w:jc w:val="center"/>
        <w:rPr>
          <w:rFonts w:ascii="Arial" w:hAnsi="Arial" w:cs="Arial"/>
          <w:b/>
          <w:sz w:val="16"/>
          <w:szCs w:val="18"/>
        </w:rPr>
      </w:pPr>
      <w:r w:rsidRPr="00906E7C">
        <w:rPr>
          <w:noProof/>
          <w:sz w:val="20"/>
          <w:lang w:eastAsia="es-BO"/>
        </w:rPr>
        <w:lastRenderedPageBreak/>
        <w:drawing>
          <wp:inline distT="0" distB="0" distL="0" distR="0" wp14:anchorId="4CDFB5E4" wp14:editId="720FA8B1">
            <wp:extent cx="5612130" cy="2462530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620" w:rsidRPr="00906E7C" w:rsidRDefault="00D45620" w:rsidP="00D45620">
      <w:pPr>
        <w:jc w:val="center"/>
        <w:rPr>
          <w:rFonts w:ascii="Arial" w:hAnsi="Arial" w:cs="Arial"/>
          <w:b/>
          <w:sz w:val="16"/>
          <w:szCs w:val="18"/>
        </w:rPr>
      </w:pPr>
    </w:p>
    <w:p w:rsidR="00B443DB" w:rsidRPr="00906E7C" w:rsidRDefault="001F0CB8" w:rsidP="00D45620">
      <w:pPr>
        <w:pStyle w:val="Prrafodelista"/>
        <w:numPr>
          <w:ilvl w:val="0"/>
          <w:numId w:val="10"/>
        </w:numPr>
        <w:jc w:val="both"/>
        <w:rPr>
          <w:rFonts w:ascii="Arial" w:eastAsia="Times New Roman" w:hAnsi="Arial" w:cs="Arial"/>
          <w:szCs w:val="18"/>
          <w:lang w:eastAsia="es-BO"/>
        </w:rPr>
      </w:pPr>
      <w:r w:rsidRPr="00906E7C">
        <w:rPr>
          <w:rFonts w:ascii="Arial" w:hAnsi="Arial" w:cs="Arial"/>
          <w:b/>
          <w:szCs w:val="18"/>
        </w:rPr>
        <w:t>Incidente (Casi accidente) de Seguridad de proceso</w:t>
      </w:r>
      <w:r w:rsidR="00B443DB" w:rsidRPr="00906E7C">
        <w:rPr>
          <w:rFonts w:ascii="Arial" w:hAnsi="Arial" w:cs="Arial"/>
          <w:b/>
          <w:szCs w:val="18"/>
        </w:rPr>
        <w:t xml:space="preserve">: </w:t>
      </w:r>
      <w:r w:rsidR="00B443DB" w:rsidRPr="00906E7C">
        <w:rPr>
          <w:rFonts w:ascii="Arial" w:eastAsia="Times New Roman" w:hAnsi="Arial" w:cs="Arial"/>
          <w:szCs w:val="18"/>
          <w:lang w:val="es-ES" w:eastAsia="es-BO"/>
        </w:rPr>
        <w:t xml:space="preserve">un evento no deseado que bajo circunstancias ligeramente diferentes podría haber resultado en lesiones a personas, daños a la propiedad, equipo o medio ambiente o pérdidas del proceso. </w:t>
      </w:r>
    </w:p>
    <w:p w:rsidR="00D45620" w:rsidRPr="00906E7C" w:rsidRDefault="00D45620" w:rsidP="00D4562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Cs w:val="18"/>
          <w:lang w:val="es-ES" w:eastAsia="es-BO"/>
        </w:rPr>
      </w:pPr>
    </w:p>
    <w:p w:rsidR="00D45620" w:rsidRPr="00906E7C" w:rsidRDefault="00D45620" w:rsidP="00D45620">
      <w:pPr>
        <w:autoSpaceDE w:val="0"/>
        <w:autoSpaceDN w:val="0"/>
        <w:adjustRightInd w:val="0"/>
        <w:spacing w:after="0" w:line="240" w:lineRule="auto"/>
        <w:ind w:firstLine="360"/>
        <w:rPr>
          <w:rFonts w:ascii="Arial" w:eastAsia="Times New Roman" w:hAnsi="Arial" w:cs="Arial"/>
          <w:szCs w:val="18"/>
          <w:lang w:val="es-ES" w:eastAsia="es-BO"/>
        </w:rPr>
      </w:pPr>
      <w:r w:rsidRPr="00906E7C">
        <w:rPr>
          <w:rFonts w:ascii="Arial" w:eastAsia="Times New Roman" w:hAnsi="Arial" w:cs="Arial"/>
          <w:szCs w:val="18"/>
          <w:lang w:val="es-ES" w:eastAsia="es-BO"/>
        </w:rPr>
        <w:t>En otras palabras un incidente de seguridad de procesos implica:</w:t>
      </w:r>
    </w:p>
    <w:p w:rsidR="00D45620" w:rsidRPr="00906E7C" w:rsidRDefault="00D45620" w:rsidP="00D45620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="Arial" w:eastAsia="Times New Roman" w:hAnsi="Arial" w:cs="Arial"/>
          <w:szCs w:val="18"/>
          <w:lang w:val="es-ES" w:eastAsia="es-BO"/>
        </w:rPr>
      </w:pPr>
      <w:r w:rsidRPr="00906E7C">
        <w:rPr>
          <w:rFonts w:ascii="Arial" w:eastAsia="Times New Roman" w:hAnsi="Arial" w:cs="Arial"/>
          <w:szCs w:val="18"/>
          <w:lang w:val="es-ES" w:eastAsia="es-BO"/>
        </w:rPr>
        <w:t xml:space="preserve">Cualquier liberación significativa de una sustancia peligrosa que no cumple con el umbral del ESP Nivel 1 o 2, o </w:t>
      </w:r>
    </w:p>
    <w:p w:rsidR="00D45620" w:rsidRPr="00906E7C" w:rsidRDefault="00D45620" w:rsidP="00D45620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="Arial" w:eastAsia="Times New Roman" w:hAnsi="Arial" w:cs="Arial"/>
          <w:szCs w:val="18"/>
          <w:lang w:val="es-ES" w:eastAsia="es-BO"/>
        </w:rPr>
      </w:pPr>
      <w:r w:rsidRPr="00906E7C">
        <w:rPr>
          <w:rFonts w:ascii="Arial" w:eastAsia="Times New Roman" w:hAnsi="Arial" w:cs="Arial"/>
          <w:szCs w:val="18"/>
          <w:lang w:val="es-ES" w:eastAsia="es-BO"/>
        </w:rPr>
        <w:t>Donde han existido una activación o demanda de una o dos capas de seguridad de procesos (por ejemplo  la activación de un dispositivo alivio de presión, o un sistemas instrumentados de seguridad (SIS), o los sistemas mecánicos de cierre</w:t>
      </w:r>
    </w:p>
    <w:p w:rsidR="00D45620" w:rsidRPr="00906E7C" w:rsidRDefault="00D45620" w:rsidP="00D45620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="Arial" w:eastAsia="Times New Roman" w:hAnsi="Arial" w:cs="Arial"/>
          <w:szCs w:val="18"/>
          <w:lang w:val="es-ES" w:eastAsia="es-BO"/>
        </w:rPr>
      </w:pPr>
      <w:r w:rsidRPr="00906E7C">
        <w:rPr>
          <w:rFonts w:ascii="Arial" w:eastAsia="Times New Roman" w:hAnsi="Arial" w:cs="Arial"/>
          <w:szCs w:val="18"/>
          <w:lang w:val="es-ES" w:eastAsia="es-BO"/>
        </w:rPr>
        <w:t>Inspección o pruebas de un sistema de contención primaria con resultados fuera de los límites aceptables</w:t>
      </w:r>
    </w:p>
    <w:p w:rsidR="00D45620" w:rsidRPr="00906E7C" w:rsidRDefault="00D45620" w:rsidP="00D45620">
      <w:pPr>
        <w:autoSpaceDE w:val="0"/>
        <w:autoSpaceDN w:val="0"/>
        <w:adjustRightInd w:val="0"/>
        <w:rPr>
          <w:rFonts w:ascii="Arial" w:eastAsia="Times New Roman" w:hAnsi="Arial" w:cs="Arial"/>
          <w:szCs w:val="18"/>
          <w:lang w:val="es-ES" w:eastAsia="es-BO"/>
        </w:rPr>
      </w:pPr>
    </w:p>
    <w:p w:rsidR="00D45620" w:rsidRPr="00817BAA" w:rsidRDefault="00D45620" w:rsidP="00D45620">
      <w:pPr>
        <w:autoSpaceDE w:val="0"/>
        <w:autoSpaceDN w:val="0"/>
        <w:adjustRightInd w:val="0"/>
        <w:rPr>
          <w:rFonts w:ascii="Arial" w:eastAsia="Times New Roman" w:hAnsi="Arial" w:cs="Arial"/>
          <w:b/>
          <w:szCs w:val="18"/>
          <w:u w:val="single"/>
          <w:lang w:val="es-ES" w:eastAsia="es-BO"/>
        </w:rPr>
      </w:pPr>
      <w:r w:rsidRPr="00817BAA">
        <w:rPr>
          <w:rFonts w:ascii="Arial" w:eastAsia="Times New Roman" w:hAnsi="Arial" w:cs="Arial"/>
          <w:b/>
          <w:szCs w:val="18"/>
          <w:u w:val="single"/>
          <w:lang w:val="es-ES" w:eastAsia="es-BO"/>
        </w:rPr>
        <w:t xml:space="preserve">NOTA: </w:t>
      </w:r>
    </w:p>
    <w:p w:rsidR="00D45620" w:rsidRPr="00906E7C" w:rsidRDefault="00D45620" w:rsidP="00D45620">
      <w:pPr>
        <w:autoSpaceDE w:val="0"/>
        <w:autoSpaceDN w:val="0"/>
        <w:adjustRightInd w:val="0"/>
        <w:rPr>
          <w:rFonts w:ascii="Arial" w:eastAsia="Times New Roman" w:hAnsi="Arial" w:cs="Arial"/>
          <w:szCs w:val="18"/>
          <w:lang w:val="es-ES" w:eastAsia="es-BO"/>
        </w:rPr>
      </w:pPr>
      <w:r w:rsidRPr="00906E7C">
        <w:rPr>
          <w:rFonts w:ascii="Arial" w:eastAsia="Times New Roman" w:hAnsi="Arial" w:cs="Arial"/>
          <w:szCs w:val="18"/>
          <w:lang w:val="es-ES" w:eastAsia="es-BO"/>
        </w:rPr>
        <w:t xml:space="preserve">Para considerar de mayor detalle de los eventos de seguridad de procesos, como aplicabilidad y ejemplos de cada uno de los casos, material adicional, limitaciones, etc. Se debe consultar la siguiente publicación gratuita de la CCPS: </w:t>
      </w:r>
    </w:p>
    <w:p w:rsidR="00D45620" w:rsidRPr="00906E7C" w:rsidRDefault="001C4EFB" w:rsidP="00D45620">
      <w:pPr>
        <w:autoSpaceDE w:val="0"/>
        <w:autoSpaceDN w:val="0"/>
        <w:adjustRightInd w:val="0"/>
        <w:rPr>
          <w:rFonts w:ascii="Arial" w:eastAsia="Times New Roman" w:hAnsi="Arial" w:cs="Arial"/>
          <w:szCs w:val="18"/>
          <w:lang w:val="es-ES" w:eastAsia="es-BO"/>
        </w:rPr>
      </w:pPr>
      <w:hyperlink r:id="rId13" w:history="1">
        <w:r w:rsidR="00D45620" w:rsidRPr="00906E7C">
          <w:rPr>
            <w:rStyle w:val="Hipervnculo"/>
            <w:rFonts w:ascii="Arial" w:eastAsia="Times New Roman" w:hAnsi="Arial" w:cs="Arial"/>
            <w:szCs w:val="18"/>
            <w:lang w:val="es-ES" w:eastAsia="es-BO"/>
          </w:rPr>
          <w:t>https://www.aiche.org/sites/default/files/docs/pages/metrics%20spanish%20updated.pdf</w:t>
        </w:r>
      </w:hyperlink>
    </w:p>
    <w:p w:rsidR="00D45620" w:rsidRPr="00906E7C" w:rsidRDefault="00D45620" w:rsidP="00D45620">
      <w:pPr>
        <w:autoSpaceDE w:val="0"/>
        <w:autoSpaceDN w:val="0"/>
        <w:adjustRightInd w:val="0"/>
        <w:rPr>
          <w:rFonts w:ascii="Arial" w:eastAsia="Times New Roman" w:hAnsi="Arial" w:cs="Arial"/>
          <w:szCs w:val="18"/>
          <w:lang w:val="es-ES" w:eastAsia="es-BO"/>
        </w:rPr>
      </w:pPr>
    </w:p>
    <w:sectPr w:rsidR="00D45620" w:rsidRPr="00906E7C">
      <w:head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C1D" w:rsidRDefault="000D4C1D" w:rsidP="000D4C1D">
      <w:pPr>
        <w:spacing w:after="0" w:line="240" w:lineRule="auto"/>
      </w:pPr>
      <w:r>
        <w:separator/>
      </w:r>
    </w:p>
  </w:endnote>
  <w:endnote w:type="continuationSeparator" w:id="0">
    <w:p w:rsidR="000D4C1D" w:rsidRDefault="000D4C1D" w:rsidP="000D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C1D" w:rsidRDefault="000D4C1D" w:rsidP="000D4C1D">
      <w:pPr>
        <w:spacing w:after="0" w:line="240" w:lineRule="auto"/>
      </w:pPr>
      <w:r>
        <w:separator/>
      </w:r>
    </w:p>
  </w:footnote>
  <w:footnote w:type="continuationSeparator" w:id="0">
    <w:p w:rsidR="000D4C1D" w:rsidRDefault="000D4C1D" w:rsidP="000D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C1D" w:rsidRDefault="000D4C1D">
    <w:pPr>
      <w:pStyle w:val="Encabezado"/>
    </w:pPr>
  </w:p>
  <w:tbl>
    <w:tblPr>
      <w:tblpPr w:leftFromText="141" w:rightFromText="141" w:horzAnchor="margin" w:tblpY="-740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4"/>
      <w:gridCol w:w="3707"/>
      <w:gridCol w:w="2407"/>
    </w:tblGrid>
    <w:tr w:rsidR="000D4C1D" w:rsidRPr="005A3C8F" w:rsidTr="00410BCC">
      <w:tc>
        <w:tcPr>
          <w:tcW w:w="2736" w:type="dxa"/>
          <w:shd w:val="clear" w:color="auto" w:fill="auto"/>
        </w:tcPr>
        <w:p w:rsidR="000D4C1D" w:rsidRPr="005A3C8F" w:rsidRDefault="000D4C1D" w:rsidP="000D4C1D">
          <w:pPr>
            <w:pStyle w:val="Encabezado"/>
          </w:pPr>
          <w:r w:rsidRPr="005A3C8F">
            <w:rPr>
              <w:noProof/>
              <w:lang w:eastAsia="es-B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106680</wp:posOffset>
                </wp:positionV>
                <wp:extent cx="1358265" cy="459740"/>
                <wp:effectExtent l="0" t="0" r="0" b="0"/>
                <wp:wrapSquare wrapText="bothSides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8265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30" w:type="dxa"/>
          <w:shd w:val="clear" w:color="auto" w:fill="auto"/>
          <w:vAlign w:val="center"/>
        </w:tcPr>
        <w:p w:rsidR="000D4C1D" w:rsidRPr="005A3C8F" w:rsidRDefault="000D4C1D" w:rsidP="000D4C1D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OCURRENCIA ANORMAL OPERATIVA</w:t>
          </w:r>
        </w:p>
      </w:tc>
      <w:tc>
        <w:tcPr>
          <w:tcW w:w="2488" w:type="dxa"/>
          <w:shd w:val="clear" w:color="auto" w:fill="auto"/>
          <w:vAlign w:val="center"/>
        </w:tcPr>
        <w:p w:rsidR="000D4C1D" w:rsidRPr="005A3C8F" w:rsidRDefault="000D4C1D" w:rsidP="000D4C1D">
          <w:pPr>
            <w:pStyle w:val="Encabezado"/>
            <w:jc w:val="center"/>
            <w:rPr>
              <w:rFonts w:ascii="Arial" w:hAnsi="Arial" w:cs="Arial"/>
              <w:b/>
              <w:lang w:val="pt-BR"/>
            </w:rPr>
          </w:pPr>
          <w:r w:rsidRPr="005A3C8F">
            <w:rPr>
              <w:rFonts w:ascii="Arial" w:hAnsi="Arial" w:cs="Arial"/>
              <w:b/>
              <w:lang w:val="pt-BR"/>
            </w:rPr>
            <w:t xml:space="preserve">ANEXO </w:t>
          </w:r>
          <w:r>
            <w:rPr>
              <w:rFonts w:ascii="Arial" w:hAnsi="Arial" w:cs="Arial"/>
              <w:b/>
              <w:lang w:val="pt-BR"/>
            </w:rPr>
            <w:t>F</w:t>
          </w:r>
        </w:p>
        <w:p w:rsidR="000D4C1D" w:rsidRPr="005A3C8F" w:rsidRDefault="001C4EFB" w:rsidP="000D4C1D">
          <w:pPr>
            <w:pStyle w:val="Encabezado"/>
            <w:jc w:val="center"/>
            <w:rPr>
              <w:rFonts w:ascii="Arial" w:hAnsi="Arial" w:cs="Arial"/>
              <w:lang w:val="pt-BR"/>
            </w:rPr>
          </w:pPr>
          <w:r>
            <w:rPr>
              <w:rFonts w:ascii="Arial" w:hAnsi="Arial" w:cs="Arial"/>
              <w:b/>
              <w:lang w:val="pt-BR"/>
            </w:rPr>
            <w:t>PG-1-DGSMS-102</w:t>
          </w:r>
        </w:p>
      </w:tc>
    </w:tr>
  </w:tbl>
  <w:p w:rsidR="000D4C1D" w:rsidRDefault="000D4C1D">
    <w:pPr>
      <w:pStyle w:val="Encabezado"/>
    </w:pPr>
  </w:p>
  <w:p w:rsidR="000D4C1D" w:rsidRDefault="000D4C1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7D2A"/>
    <w:multiLevelType w:val="hybridMultilevel"/>
    <w:tmpl w:val="15B63C5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030C6"/>
    <w:multiLevelType w:val="hybridMultilevel"/>
    <w:tmpl w:val="8E30459A"/>
    <w:lvl w:ilvl="0" w:tplc="40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23870F7"/>
    <w:multiLevelType w:val="hybridMultilevel"/>
    <w:tmpl w:val="FE7A4CBC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788" w:hanging="360"/>
      </w:pPr>
    </w:lvl>
    <w:lvl w:ilvl="2" w:tplc="400A001B" w:tentative="1">
      <w:start w:val="1"/>
      <w:numFmt w:val="lowerRoman"/>
      <w:lvlText w:val="%3."/>
      <w:lvlJc w:val="right"/>
      <w:pPr>
        <w:ind w:left="2508" w:hanging="180"/>
      </w:pPr>
    </w:lvl>
    <w:lvl w:ilvl="3" w:tplc="400A000F" w:tentative="1">
      <w:start w:val="1"/>
      <w:numFmt w:val="decimal"/>
      <w:lvlText w:val="%4."/>
      <w:lvlJc w:val="left"/>
      <w:pPr>
        <w:ind w:left="3228" w:hanging="360"/>
      </w:pPr>
    </w:lvl>
    <w:lvl w:ilvl="4" w:tplc="400A0019" w:tentative="1">
      <w:start w:val="1"/>
      <w:numFmt w:val="lowerLetter"/>
      <w:lvlText w:val="%5."/>
      <w:lvlJc w:val="left"/>
      <w:pPr>
        <w:ind w:left="3948" w:hanging="360"/>
      </w:pPr>
    </w:lvl>
    <w:lvl w:ilvl="5" w:tplc="400A001B" w:tentative="1">
      <w:start w:val="1"/>
      <w:numFmt w:val="lowerRoman"/>
      <w:lvlText w:val="%6."/>
      <w:lvlJc w:val="right"/>
      <w:pPr>
        <w:ind w:left="4668" w:hanging="180"/>
      </w:pPr>
    </w:lvl>
    <w:lvl w:ilvl="6" w:tplc="400A000F" w:tentative="1">
      <w:start w:val="1"/>
      <w:numFmt w:val="decimal"/>
      <w:lvlText w:val="%7."/>
      <w:lvlJc w:val="left"/>
      <w:pPr>
        <w:ind w:left="5388" w:hanging="360"/>
      </w:pPr>
    </w:lvl>
    <w:lvl w:ilvl="7" w:tplc="400A0019" w:tentative="1">
      <w:start w:val="1"/>
      <w:numFmt w:val="lowerLetter"/>
      <w:lvlText w:val="%8."/>
      <w:lvlJc w:val="left"/>
      <w:pPr>
        <w:ind w:left="6108" w:hanging="360"/>
      </w:pPr>
    </w:lvl>
    <w:lvl w:ilvl="8" w:tplc="4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6E2316"/>
    <w:multiLevelType w:val="hybridMultilevel"/>
    <w:tmpl w:val="3522D5E2"/>
    <w:lvl w:ilvl="0" w:tplc="C49626E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E603D"/>
    <w:multiLevelType w:val="hybridMultilevel"/>
    <w:tmpl w:val="94305B2A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A4286"/>
    <w:multiLevelType w:val="hybridMultilevel"/>
    <w:tmpl w:val="99527BC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31113"/>
    <w:multiLevelType w:val="hybridMultilevel"/>
    <w:tmpl w:val="1A464152"/>
    <w:lvl w:ilvl="0" w:tplc="684CAE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785" w:hanging="360"/>
      </w:pPr>
    </w:lvl>
    <w:lvl w:ilvl="2" w:tplc="400A001B" w:tentative="1">
      <w:start w:val="1"/>
      <w:numFmt w:val="lowerRoman"/>
      <w:lvlText w:val="%3."/>
      <w:lvlJc w:val="right"/>
      <w:pPr>
        <w:ind w:left="2505" w:hanging="180"/>
      </w:pPr>
    </w:lvl>
    <w:lvl w:ilvl="3" w:tplc="400A000F" w:tentative="1">
      <w:start w:val="1"/>
      <w:numFmt w:val="decimal"/>
      <w:lvlText w:val="%4."/>
      <w:lvlJc w:val="left"/>
      <w:pPr>
        <w:ind w:left="3225" w:hanging="360"/>
      </w:pPr>
    </w:lvl>
    <w:lvl w:ilvl="4" w:tplc="400A0019" w:tentative="1">
      <w:start w:val="1"/>
      <w:numFmt w:val="lowerLetter"/>
      <w:lvlText w:val="%5."/>
      <w:lvlJc w:val="left"/>
      <w:pPr>
        <w:ind w:left="3945" w:hanging="360"/>
      </w:pPr>
    </w:lvl>
    <w:lvl w:ilvl="5" w:tplc="400A001B" w:tentative="1">
      <w:start w:val="1"/>
      <w:numFmt w:val="lowerRoman"/>
      <w:lvlText w:val="%6."/>
      <w:lvlJc w:val="right"/>
      <w:pPr>
        <w:ind w:left="4665" w:hanging="180"/>
      </w:pPr>
    </w:lvl>
    <w:lvl w:ilvl="6" w:tplc="400A000F" w:tentative="1">
      <w:start w:val="1"/>
      <w:numFmt w:val="decimal"/>
      <w:lvlText w:val="%7."/>
      <w:lvlJc w:val="left"/>
      <w:pPr>
        <w:ind w:left="5385" w:hanging="360"/>
      </w:pPr>
    </w:lvl>
    <w:lvl w:ilvl="7" w:tplc="400A0019" w:tentative="1">
      <w:start w:val="1"/>
      <w:numFmt w:val="lowerLetter"/>
      <w:lvlText w:val="%8."/>
      <w:lvlJc w:val="left"/>
      <w:pPr>
        <w:ind w:left="6105" w:hanging="360"/>
      </w:pPr>
    </w:lvl>
    <w:lvl w:ilvl="8" w:tplc="40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6934914"/>
    <w:multiLevelType w:val="hybridMultilevel"/>
    <w:tmpl w:val="7DDE168E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60064"/>
    <w:multiLevelType w:val="hybridMultilevel"/>
    <w:tmpl w:val="50DC8284"/>
    <w:lvl w:ilvl="0" w:tplc="66460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AD6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0F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70CD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12C8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D682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CC9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C80C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224C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14317C"/>
    <w:multiLevelType w:val="hybridMultilevel"/>
    <w:tmpl w:val="2502050A"/>
    <w:lvl w:ilvl="0" w:tplc="918ACB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3A4E11"/>
    <w:multiLevelType w:val="hybridMultilevel"/>
    <w:tmpl w:val="FBA227E2"/>
    <w:lvl w:ilvl="0" w:tplc="4CC0D3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83080"/>
    <w:multiLevelType w:val="hybridMultilevel"/>
    <w:tmpl w:val="A822B4C0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2A7598"/>
    <w:multiLevelType w:val="hybridMultilevel"/>
    <w:tmpl w:val="4862389C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788" w:hanging="360"/>
      </w:pPr>
    </w:lvl>
    <w:lvl w:ilvl="2" w:tplc="400A001B" w:tentative="1">
      <w:start w:val="1"/>
      <w:numFmt w:val="lowerRoman"/>
      <w:lvlText w:val="%3."/>
      <w:lvlJc w:val="right"/>
      <w:pPr>
        <w:ind w:left="2508" w:hanging="180"/>
      </w:pPr>
    </w:lvl>
    <w:lvl w:ilvl="3" w:tplc="400A000F" w:tentative="1">
      <w:start w:val="1"/>
      <w:numFmt w:val="decimal"/>
      <w:lvlText w:val="%4."/>
      <w:lvlJc w:val="left"/>
      <w:pPr>
        <w:ind w:left="3228" w:hanging="360"/>
      </w:pPr>
    </w:lvl>
    <w:lvl w:ilvl="4" w:tplc="400A0019" w:tentative="1">
      <w:start w:val="1"/>
      <w:numFmt w:val="lowerLetter"/>
      <w:lvlText w:val="%5."/>
      <w:lvlJc w:val="left"/>
      <w:pPr>
        <w:ind w:left="3948" w:hanging="360"/>
      </w:pPr>
    </w:lvl>
    <w:lvl w:ilvl="5" w:tplc="400A001B" w:tentative="1">
      <w:start w:val="1"/>
      <w:numFmt w:val="lowerRoman"/>
      <w:lvlText w:val="%6."/>
      <w:lvlJc w:val="right"/>
      <w:pPr>
        <w:ind w:left="4668" w:hanging="180"/>
      </w:pPr>
    </w:lvl>
    <w:lvl w:ilvl="6" w:tplc="400A000F" w:tentative="1">
      <w:start w:val="1"/>
      <w:numFmt w:val="decimal"/>
      <w:lvlText w:val="%7."/>
      <w:lvlJc w:val="left"/>
      <w:pPr>
        <w:ind w:left="5388" w:hanging="360"/>
      </w:pPr>
    </w:lvl>
    <w:lvl w:ilvl="7" w:tplc="400A0019" w:tentative="1">
      <w:start w:val="1"/>
      <w:numFmt w:val="lowerLetter"/>
      <w:lvlText w:val="%8."/>
      <w:lvlJc w:val="left"/>
      <w:pPr>
        <w:ind w:left="6108" w:hanging="360"/>
      </w:pPr>
    </w:lvl>
    <w:lvl w:ilvl="8" w:tplc="4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7763167"/>
    <w:multiLevelType w:val="hybridMultilevel"/>
    <w:tmpl w:val="047EB65C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3"/>
  </w:num>
  <w:num w:numId="4">
    <w:abstractNumId w:val="6"/>
  </w:num>
  <w:num w:numId="5">
    <w:abstractNumId w:val="12"/>
  </w:num>
  <w:num w:numId="6">
    <w:abstractNumId w:val="7"/>
  </w:num>
  <w:num w:numId="7">
    <w:abstractNumId w:val="8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10"/>
  </w:num>
  <w:num w:numId="13">
    <w:abstractNumId w:val="0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pt-BR" w:vendorID="64" w:dllVersion="131078" w:nlCheck="1" w:checkStyle="0"/>
  <w:activeWritingStyle w:appName="MSWord" w:lang="es-BO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1A"/>
    <w:rsid w:val="00020BD8"/>
    <w:rsid w:val="00044AF2"/>
    <w:rsid w:val="000D4C1D"/>
    <w:rsid w:val="00173725"/>
    <w:rsid w:val="001C4EFB"/>
    <w:rsid w:val="001F0CB8"/>
    <w:rsid w:val="00296765"/>
    <w:rsid w:val="002C19BE"/>
    <w:rsid w:val="00312143"/>
    <w:rsid w:val="0032273F"/>
    <w:rsid w:val="00376595"/>
    <w:rsid w:val="00410BCC"/>
    <w:rsid w:val="00817BAA"/>
    <w:rsid w:val="00906E7C"/>
    <w:rsid w:val="009C5411"/>
    <w:rsid w:val="00AE5129"/>
    <w:rsid w:val="00B30597"/>
    <w:rsid w:val="00B34518"/>
    <w:rsid w:val="00B443DB"/>
    <w:rsid w:val="00C422A7"/>
    <w:rsid w:val="00D45620"/>
    <w:rsid w:val="00DA3C02"/>
    <w:rsid w:val="00EA05B9"/>
    <w:rsid w:val="00EE3FF5"/>
    <w:rsid w:val="00F5378E"/>
    <w:rsid w:val="00F9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6A9A4E5A"/>
  <w15:chartTrackingRefBased/>
  <w15:docId w15:val="{CC1994F5-A6F7-498D-AABD-BA57D302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0CB8"/>
    <w:pPr>
      <w:spacing w:after="0" w:line="240" w:lineRule="auto"/>
      <w:ind w:left="720"/>
    </w:pPr>
    <w:rPr>
      <w:rFonts w:ascii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1F0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nhideWhenUsed/>
    <w:rsid w:val="000D4C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D4C1D"/>
  </w:style>
  <w:style w:type="paragraph" w:styleId="Piedepgina">
    <w:name w:val="footer"/>
    <w:basedOn w:val="Normal"/>
    <w:link w:val="PiedepginaCar"/>
    <w:uiPriority w:val="99"/>
    <w:unhideWhenUsed/>
    <w:rsid w:val="000D4C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C1D"/>
  </w:style>
  <w:style w:type="character" w:styleId="Hipervnculo">
    <w:name w:val="Hyperlink"/>
    <w:basedOn w:val="Fuentedeprrafopredeter"/>
    <w:uiPriority w:val="99"/>
    <w:unhideWhenUsed/>
    <w:rsid w:val="00D45620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6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6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27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77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aiche.org/sites/default/files/docs/pages/metrics%20spanish%20updated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849</Words>
  <Characters>4672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Alcazar Uzeda</dc:creator>
  <cp:keywords/>
  <dc:description/>
  <cp:lastModifiedBy>Tatiana De Ugarte Antelo</cp:lastModifiedBy>
  <cp:revision>4</cp:revision>
  <cp:lastPrinted>2019-01-31T20:05:00Z</cp:lastPrinted>
  <dcterms:created xsi:type="dcterms:W3CDTF">2020-02-04T19:49:00Z</dcterms:created>
  <dcterms:modified xsi:type="dcterms:W3CDTF">2021-11-30T00:38:00Z</dcterms:modified>
</cp:coreProperties>
</file>